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1F0C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B1D7AFA" w14:textId="77777777" w:rsidTr="005F7F7E">
        <w:tc>
          <w:tcPr>
            <w:tcW w:w="2438" w:type="dxa"/>
            <w:shd w:val="clear" w:color="auto" w:fill="auto"/>
          </w:tcPr>
          <w:p w14:paraId="688DCA6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29B4E74" w14:textId="77777777" w:rsidR="00F445B1" w:rsidRPr="00F95BC9" w:rsidRDefault="004711FC" w:rsidP="004A76CE">
            <w:pPr>
              <w:rPr>
                <w:rStyle w:val="Firstpagetablebold"/>
              </w:rPr>
            </w:pPr>
            <w:r>
              <w:rPr>
                <w:rStyle w:val="Firstpagetablebold"/>
              </w:rPr>
              <w:t>Shareholder</w:t>
            </w:r>
            <w:r w:rsidR="004A76CE">
              <w:rPr>
                <w:rStyle w:val="Firstpagetablebold"/>
              </w:rPr>
              <w:t xml:space="preserve"> and Joint Venture Group</w:t>
            </w:r>
            <w:r>
              <w:rPr>
                <w:rStyle w:val="Firstpagetablebold"/>
              </w:rPr>
              <w:t xml:space="preserve"> </w:t>
            </w:r>
            <w:r w:rsidR="00475860">
              <w:rPr>
                <w:rStyle w:val="Firstpagetablebold"/>
              </w:rPr>
              <w:t>Meeting</w:t>
            </w:r>
          </w:p>
        </w:tc>
      </w:tr>
      <w:tr w:rsidR="00CE544A" w:rsidRPr="00975B07" w14:paraId="3929FF67" w14:textId="77777777" w:rsidTr="005F7F7E">
        <w:tc>
          <w:tcPr>
            <w:tcW w:w="2438" w:type="dxa"/>
            <w:shd w:val="clear" w:color="auto" w:fill="auto"/>
          </w:tcPr>
          <w:p w14:paraId="7503A38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7A67D84" w14:textId="77777777" w:rsidR="00F445B1" w:rsidRPr="001356F1" w:rsidRDefault="0008540A" w:rsidP="0008540A">
            <w:pPr>
              <w:rPr>
                <w:b/>
              </w:rPr>
            </w:pPr>
            <w:r>
              <w:rPr>
                <w:rStyle w:val="Firstpagetablebold"/>
                <w:color w:val="auto"/>
              </w:rPr>
              <w:t>19</w:t>
            </w:r>
            <w:r w:rsidR="00D23ACE" w:rsidRPr="00B577C0">
              <w:rPr>
                <w:rStyle w:val="Firstpagetablebold"/>
                <w:color w:val="auto"/>
              </w:rPr>
              <w:t xml:space="preserve"> </w:t>
            </w:r>
            <w:r>
              <w:rPr>
                <w:rStyle w:val="Firstpagetablebold"/>
                <w:color w:val="auto"/>
              </w:rPr>
              <w:t>November</w:t>
            </w:r>
            <w:r w:rsidR="00D23ACE" w:rsidRPr="00B577C0">
              <w:rPr>
                <w:rStyle w:val="Firstpagetablebold"/>
                <w:color w:val="auto"/>
              </w:rPr>
              <w:t xml:space="preserve"> 2019</w:t>
            </w:r>
          </w:p>
        </w:tc>
      </w:tr>
      <w:tr w:rsidR="00CE544A" w:rsidRPr="00975B07" w14:paraId="406F6ABF" w14:textId="77777777" w:rsidTr="005F7F7E">
        <w:tc>
          <w:tcPr>
            <w:tcW w:w="2438" w:type="dxa"/>
            <w:shd w:val="clear" w:color="auto" w:fill="auto"/>
          </w:tcPr>
          <w:p w14:paraId="1B37F31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C7505E1" w14:textId="2EB3B40E" w:rsidR="00F445B1" w:rsidRPr="001356F1" w:rsidRDefault="00577A9F" w:rsidP="0008540A">
            <w:pPr>
              <w:rPr>
                <w:rStyle w:val="Firstpagetablebold"/>
              </w:rPr>
            </w:pPr>
            <w:r>
              <w:rPr>
                <w:rStyle w:val="Firstpagetablebold"/>
                <w:color w:val="auto"/>
              </w:rPr>
              <w:t>Company Secretary of</w:t>
            </w:r>
            <w:r w:rsidR="0008540A">
              <w:rPr>
                <w:rStyle w:val="Firstpagetablebold"/>
                <w:color w:val="auto"/>
              </w:rPr>
              <w:t xml:space="preserve"> the </w:t>
            </w:r>
            <w:r w:rsidR="00412AF7" w:rsidRPr="00412AF7">
              <w:rPr>
                <w:rStyle w:val="Firstpagetablebold"/>
                <w:color w:val="auto"/>
              </w:rPr>
              <w:t xml:space="preserve">Housing </w:t>
            </w:r>
            <w:r w:rsidR="00361B58">
              <w:rPr>
                <w:rStyle w:val="Firstpagetablebold"/>
                <w:color w:val="auto"/>
              </w:rPr>
              <w:t xml:space="preserve">Group of </w:t>
            </w:r>
            <w:r w:rsidR="0008540A">
              <w:rPr>
                <w:rStyle w:val="Firstpagetablebold"/>
                <w:color w:val="auto"/>
              </w:rPr>
              <w:t>Companies</w:t>
            </w:r>
            <w:r w:rsidR="004A76CE">
              <w:rPr>
                <w:rStyle w:val="Firstpagetablebold"/>
                <w:color w:val="FF0000"/>
              </w:rPr>
              <w:t xml:space="preserve"> </w:t>
            </w:r>
          </w:p>
        </w:tc>
      </w:tr>
      <w:tr w:rsidR="00CE544A" w:rsidRPr="00975B07" w14:paraId="34D7EE98" w14:textId="77777777" w:rsidTr="005F7F7E">
        <w:tc>
          <w:tcPr>
            <w:tcW w:w="2438" w:type="dxa"/>
            <w:shd w:val="clear" w:color="auto" w:fill="auto"/>
          </w:tcPr>
          <w:p w14:paraId="0D5EEB5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D774D2A" w14:textId="6A520E0F" w:rsidR="00F445B1" w:rsidRPr="001356F1" w:rsidRDefault="0008540A" w:rsidP="003560D6">
            <w:pPr>
              <w:rPr>
                <w:rStyle w:val="Firstpagetablebold"/>
              </w:rPr>
            </w:pPr>
            <w:r>
              <w:rPr>
                <w:rStyle w:val="Firstpagetablebold"/>
              </w:rPr>
              <w:t xml:space="preserve">Appointment of a </w:t>
            </w:r>
            <w:r w:rsidR="00361B58">
              <w:rPr>
                <w:rStyle w:val="Firstpagetablebold"/>
              </w:rPr>
              <w:t xml:space="preserve">Managing </w:t>
            </w:r>
            <w:r>
              <w:rPr>
                <w:rStyle w:val="Firstpagetablebold"/>
              </w:rPr>
              <w:t xml:space="preserve">Director to the Housing Group </w:t>
            </w:r>
            <w:r w:rsidR="00577A9F">
              <w:rPr>
                <w:rStyle w:val="Firstpagetablebold"/>
              </w:rPr>
              <w:t>of Companies</w:t>
            </w:r>
          </w:p>
        </w:tc>
      </w:tr>
    </w:tbl>
    <w:p w14:paraId="5AE908B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585B98A" w14:textId="77777777" w:rsidTr="0080749A">
        <w:tc>
          <w:tcPr>
            <w:tcW w:w="8845" w:type="dxa"/>
            <w:gridSpan w:val="3"/>
            <w:tcBorders>
              <w:bottom w:val="single" w:sz="8" w:space="0" w:color="000000"/>
            </w:tcBorders>
            <w:hideMark/>
          </w:tcPr>
          <w:p w14:paraId="390164D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AFB66C3" w14:textId="77777777" w:rsidTr="0080749A">
        <w:tc>
          <w:tcPr>
            <w:tcW w:w="2438" w:type="dxa"/>
            <w:gridSpan w:val="2"/>
            <w:tcBorders>
              <w:top w:val="single" w:sz="8" w:space="0" w:color="000000"/>
              <w:left w:val="single" w:sz="8" w:space="0" w:color="000000"/>
              <w:bottom w:val="nil"/>
              <w:right w:val="nil"/>
            </w:tcBorders>
            <w:hideMark/>
          </w:tcPr>
          <w:p w14:paraId="762B9029"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0467B78" w14:textId="7FFCB9BC" w:rsidR="00D5547E" w:rsidRPr="001356F1" w:rsidRDefault="00361B58" w:rsidP="00DA5796">
            <w:r>
              <w:t xml:space="preserve">The appointment of </w:t>
            </w:r>
            <w:r w:rsidR="0008540A">
              <w:t xml:space="preserve">Board Directors to the Housing Group </w:t>
            </w:r>
            <w:r>
              <w:t xml:space="preserve">is a matter reserved for the Shareholder, and this report sets out the process through which it is intended that a new Managing </w:t>
            </w:r>
            <w:r w:rsidR="00577A9F">
              <w:t xml:space="preserve">Director </w:t>
            </w:r>
            <w:r>
              <w:t>be selected and appointed to join the Board.</w:t>
            </w:r>
          </w:p>
        </w:tc>
      </w:tr>
      <w:tr w:rsidR="005F7F7E" w:rsidRPr="00975B07" w14:paraId="2AFABCB6" w14:textId="77777777" w:rsidTr="00A46E98">
        <w:trPr>
          <w:trHeight w:val="413"/>
        </w:trPr>
        <w:tc>
          <w:tcPr>
            <w:tcW w:w="8845" w:type="dxa"/>
            <w:gridSpan w:val="3"/>
            <w:tcBorders>
              <w:bottom w:val="single" w:sz="8" w:space="0" w:color="000000"/>
            </w:tcBorders>
          </w:tcPr>
          <w:p w14:paraId="09A21B37" w14:textId="77777777" w:rsidR="005F7F7E" w:rsidRPr="00975B07" w:rsidRDefault="005F7F7E" w:rsidP="004A76CE">
            <w:r>
              <w:rPr>
                <w:rStyle w:val="Firstpagetablebold"/>
              </w:rPr>
              <w:t xml:space="preserve">Recommendation(s):That the </w:t>
            </w:r>
            <w:r w:rsidR="004711FC" w:rsidRPr="004A76CE">
              <w:rPr>
                <w:rStyle w:val="Firstpagetablebold"/>
                <w:color w:val="auto"/>
              </w:rPr>
              <w:t xml:space="preserve">Shareholder </w:t>
            </w:r>
            <w:r w:rsidR="004A76CE" w:rsidRPr="004A76CE">
              <w:rPr>
                <w:rStyle w:val="Firstpagetablebold"/>
                <w:color w:val="auto"/>
              </w:rPr>
              <w:t xml:space="preserve"> and Joint Venture Group </w:t>
            </w:r>
            <w:r>
              <w:rPr>
                <w:rStyle w:val="Firstpagetablebold"/>
              </w:rPr>
              <w:t>resolves to:</w:t>
            </w:r>
          </w:p>
        </w:tc>
      </w:tr>
      <w:tr w:rsidR="0030208D" w:rsidRPr="00975B07" w14:paraId="0AF5BBD3" w14:textId="77777777" w:rsidTr="00A46E98">
        <w:trPr>
          <w:trHeight w:val="283"/>
        </w:trPr>
        <w:tc>
          <w:tcPr>
            <w:tcW w:w="426" w:type="dxa"/>
            <w:tcBorders>
              <w:top w:val="single" w:sz="8" w:space="0" w:color="000000"/>
              <w:left w:val="single" w:sz="8" w:space="0" w:color="000000"/>
              <w:bottom w:val="nil"/>
              <w:right w:val="nil"/>
            </w:tcBorders>
          </w:tcPr>
          <w:p w14:paraId="702660A4"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0B565B35" w14:textId="2B17976A" w:rsidR="0030208D" w:rsidRPr="00C9520B" w:rsidRDefault="003560D6" w:rsidP="0073696A">
            <w:pPr>
              <w:rPr>
                <w:color w:val="auto"/>
              </w:rPr>
            </w:pPr>
            <w:r w:rsidRPr="00C9520B">
              <w:rPr>
                <w:color w:val="auto"/>
              </w:rPr>
              <w:t>Note that Oxford City Council</w:t>
            </w:r>
            <w:r w:rsidR="00577A9F">
              <w:rPr>
                <w:color w:val="auto"/>
              </w:rPr>
              <w:t>, on behalf of the Housing Group,</w:t>
            </w:r>
            <w:r w:rsidRPr="00C9520B">
              <w:rPr>
                <w:color w:val="auto"/>
              </w:rPr>
              <w:t xml:space="preserve"> is proceeding with the recruitment of </w:t>
            </w:r>
            <w:r w:rsidR="00DA5796">
              <w:rPr>
                <w:color w:val="auto"/>
              </w:rPr>
              <w:t>a</w:t>
            </w:r>
            <w:r w:rsidRPr="00C9520B">
              <w:rPr>
                <w:color w:val="auto"/>
              </w:rPr>
              <w:t xml:space="preserve"> Managing Director for the Housing Group for a</w:t>
            </w:r>
            <w:r w:rsidR="00DA5796">
              <w:rPr>
                <w:color w:val="auto"/>
              </w:rPr>
              <w:t>n initial</w:t>
            </w:r>
            <w:r w:rsidRPr="00C9520B">
              <w:rPr>
                <w:color w:val="auto"/>
              </w:rPr>
              <w:t xml:space="preserve"> fixed term of </w:t>
            </w:r>
            <w:r w:rsidR="0073696A" w:rsidRPr="0073696A">
              <w:rPr>
                <w:color w:val="auto"/>
              </w:rPr>
              <w:t>2</w:t>
            </w:r>
            <w:r w:rsidRPr="008800C1">
              <w:rPr>
                <w:color w:val="FF0000"/>
              </w:rPr>
              <w:t xml:space="preserve"> </w:t>
            </w:r>
            <w:r w:rsidRPr="00C9520B">
              <w:rPr>
                <w:color w:val="auto"/>
              </w:rPr>
              <w:t>years</w:t>
            </w:r>
            <w:r w:rsidR="00940D19">
              <w:rPr>
                <w:color w:val="auto"/>
              </w:rPr>
              <w:t>, to replace the current Interim Managing Director</w:t>
            </w:r>
            <w:r w:rsidRPr="00C9520B">
              <w:rPr>
                <w:color w:val="auto"/>
              </w:rPr>
              <w:t xml:space="preserve">; </w:t>
            </w:r>
          </w:p>
        </w:tc>
      </w:tr>
      <w:tr w:rsidR="0030208D" w:rsidRPr="00975B07" w14:paraId="4CB6AC27" w14:textId="77777777" w:rsidTr="00C9520B">
        <w:trPr>
          <w:trHeight w:val="283"/>
        </w:trPr>
        <w:tc>
          <w:tcPr>
            <w:tcW w:w="426" w:type="dxa"/>
            <w:tcBorders>
              <w:top w:val="nil"/>
              <w:left w:val="single" w:sz="8" w:space="0" w:color="000000"/>
              <w:bottom w:val="nil"/>
              <w:right w:val="nil"/>
            </w:tcBorders>
          </w:tcPr>
          <w:p w14:paraId="103350A4"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1BA965E4" w14:textId="56E890C4" w:rsidR="0030208D" w:rsidRPr="00C9520B" w:rsidRDefault="003560D6" w:rsidP="003560D6">
            <w:pPr>
              <w:rPr>
                <w:color w:val="auto"/>
              </w:rPr>
            </w:pPr>
            <w:r w:rsidRPr="00C9520B">
              <w:rPr>
                <w:color w:val="auto"/>
              </w:rPr>
              <w:t xml:space="preserve">Nominate two members of the Shareholder and Joint Venture Group to participate in the recruitment </w:t>
            </w:r>
            <w:r w:rsidR="00361B58">
              <w:rPr>
                <w:color w:val="auto"/>
              </w:rPr>
              <w:t>and selection process, to include</w:t>
            </w:r>
            <w:r w:rsidRPr="00C9520B">
              <w:rPr>
                <w:color w:val="auto"/>
              </w:rPr>
              <w:t xml:space="preserve"> membership of the interview panel, one of whom to be the Chair of the Shareholder and Joint Venture Group;</w:t>
            </w:r>
          </w:p>
        </w:tc>
      </w:tr>
      <w:tr w:rsidR="00232F5B" w:rsidRPr="00975B07" w14:paraId="30C19631" w14:textId="77777777" w:rsidTr="00C9520B">
        <w:trPr>
          <w:trHeight w:val="283"/>
        </w:trPr>
        <w:tc>
          <w:tcPr>
            <w:tcW w:w="426" w:type="dxa"/>
            <w:tcBorders>
              <w:top w:val="nil"/>
              <w:left w:val="single" w:sz="8" w:space="0" w:color="000000"/>
              <w:bottom w:val="single" w:sz="4" w:space="0" w:color="auto"/>
              <w:right w:val="nil"/>
            </w:tcBorders>
          </w:tcPr>
          <w:p w14:paraId="16F72338" w14:textId="77777777" w:rsidR="0030208D" w:rsidRPr="00975B07" w:rsidRDefault="00046D2B" w:rsidP="004A6D2F">
            <w:r w:rsidRPr="00975B07">
              <w:t>3.</w:t>
            </w:r>
          </w:p>
        </w:tc>
        <w:tc>
          <w:tcPr>
            <w:tcW w:w="8419" w:type="dxa"/>
            <w:gridSpan w:val="2"/>
            <w:tcBorders>
              <w:top w:val="nil"/>
              <w:left w:val="nil"/>
              <w:bottom w:val="single" w:sz="4" w:space="0" w:color="auto"/>
              <w:right w:val="single" w:sz="8" w:space="0" w:color="000000"/>
            </w:tcBorders>
            <w:shd w:val="clear" w:color="auto" w:fill="auto"/>
          </w:tcPr>
          <w:p w14:paraId="220EE706" w14:textId="49A52CAE" w:rsidR="0030208D" w:rsidRPr="00C9520B" w:rsidRDefault="00361B58" w:rsidP="003560D6">
            <w:pPr>
              <w:rPr>
                <w:color w:val="auto"/>
              </w:rPr>
            </w:pPr>
            <w:r>
              <w:rPr>
                <w:color w:val="auto"/>
              </w:rPr>
              <w:t>Following the selection of the successful candidate, to d</w:t>
            </w:r>
            <w:r w:rsidR="003560D6" w:rsidRPr="00C9520B">
              <w:rPr>
                <w:color w:val="auto"/>
              </w:rPr>
              <w:t xml:space="preserve">elegate authority to the Chair of the Shareholder and Joint Venture Group to appoint the successful candidate as a Board Director to the Housing Group </w:t>
            </w:r>
            <w:r w:rsidR="00C9520B" w:rsidRPr="00C9520B">
              <w:rPr>
                <w:color w:val="auto"/>
              </w:rPr>
              <w:t>for the term of his</w:t>
            </w:r>
            <w:r>
              <w:rPr>
                <w:color w:val="auto"/>
              </w:rPr>
              <w:t>/her</w:t>
            </w:r>
            <w:r w:rsidR="00C9520B" w:rsidRPr="00C9520B">
              <w:rPr>
                <w:color w:val="auto"/>
              </w:rPr>
              <w:t xml:space="preserve"> appointment as interim Managing Director.</w:t>
            </w:r>
          </w:p>
        </w:tc>
      </w:tr>
      <w:bookmarkEnd w:id="0"/>
    </w:tbl>
    <w:p w14:paraId="0DAB9472"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3D16254" w14:textId="77777777" w:rsidTr="003560D6">
        <w:tc>
          <w:tcPr>
            <w:tcW w:w="8844" w:type="dxa"/>
            <w:gridSpan w:val="2"/>
            <w:tcBorders>
              <w:top w:val="single" w:sz="8" w:space="0" w:color="000000"/>
              <w:left w:val="single" w:sz="8" w:space="0" w:color="000000"/>
              <w:bottom w:val="nil"/>
              <w:right w:val="single" w:sz="8" w:space="0" w:color="000000"/>
            </w:tcBorders>
            <w:shd w:val="clear" w:color="auto" w:fill="auto"/>
          </w:tcPr>
          <w:p w14:paraId="0A6A8733" w14:textId="77777777" w:rsidR="00966D42" w:rsidRPr="00975B07" w:rsidRDefault="00966D42" w:rsidP="00263EA3">
            <w:pPr>
              <w:jc w:val="center"/>
            </w:pPr>
            <w:r w:rsidRPr="00745BF0">
              <w:rPr>
                <w:rStyle w:val="Firstpagetablebold"/>
              </w:rPr>
              <w:t>Appendices</w:t>
            </w:r>
          </w:p>
        </w:tc>
      </w:tr>
      <w:tr w:rsidR="00ED5860" w:rsidRPr="00975B07" w14:paraId="76C120CB" w14:textId="77777777" w:rsidTr="003560D6">
        <w:tc>
          <w:tcPr>
            <w:tcW w:w="2438" w:type="dxa"/>
            <w:tcBorders>
              <w:top w:val="nil"/>
              <w:left w:val="single" w:sz="8" w:space="0" w:color="000000"/>
              <w:bottom w:val="single" w:sz="4" w:space="0" w:color="auto"/>
              <w:right w:val="nil"/>
            </w:tcBorders>
            <w:shd w:val="clear" w:color="auto" w:fill="auto"/>
          </w:tcPr>
          <w:p w14:paraId="02B61034" w14:textId="77777777" w:rsidR="00ED5860" w:rsidRPr="00B577C0" w:rsidRDefault="0030208D" w:rsidP="00332638">
            <w:pPr>
              <w:rPr>
                <w:color w:val="auto"/>
              </w:rPr>
            </w:pPr>
            <w:r w:rsidRPr="00B577C0">
              <w:rPr>
                <w:color w:val="auto"/>
              </w:rPr>
              <w:t xml:space="preserve">Appendix </w:t>
            </w:r>
            <w:r w:rsidR="00332638" w:rsidRPr="00B577C0">
              <w:rPr>
                <w:color w:val="auto"/>
              </w:rPr>
              <w:t>1</w:t>
            </w:r>
          </w:p>
        </w:tc>
        <w:tc>
          <w:tcPr>
            <w:tcW w:w="6406" w:type="dxa"/>
            <w:tcBorders>
              <w:top w:val="nil"/>
              <w:left w:val="nil"/>
              <w:bottom w:val="single" w:sz="4" w:space="0" w:color="auto"/>
              <w:right w:val="single" w:sz="8" w:space="0" w:color="000000"/>
            </w:tcBorders>
          </w:tcPr>
          <w:p w14:paraId="1D984CA5" w14:textId="77777777" w:rsidR="00ED5860" w:rsidRPr="00B577C0" w:rsidRDefault="00525B27" w:rsidP="00332638">
            <w:pPr>
              <w:rPr>
                <w:color w:val="auto"/>
              </w:rPr>
            </w:pPr>
            <w:r>
              <w:rPr>
                <w:color w:val="auto"/>
              </w:rPr>
              <w:t>Role profile for Managing Director of the Housing Group of Companies</w:t>
            </w:r>
          </w:p>
        </w:tc>
      </w:tr>
    </w:tbl>
    <w:p w14:paraId="6A140E32" w14:textId="77777777" w:rsidR="00332638" w:rsidRDefault="00332638" w:rsidP="00332638">
      <w:pPr>
        <w:spacing w:after="0"/>
        <w:ind w:right="-448"/>
        <w:contextualSpacing/>
        <w:rPr>
          <w:rFonts w:eastAsiaTheme="minorHAnsi" w:cs="Arial"/>
          <w:b/>
          <w:color w:val="auto"/>
          <w:lang w:eastAsia="en-US"/>
        </w:rPr>
      </w:pPr>
    </w:p>
    <w:p w14:paraId="1E717726" w14:textId="77777777" w:rsidR="000B08EF" w:rsidRDefault="000B08EF" w:rsidP="00332638">
      <w:pPr>
        <w:spacing w:after="0"/>
        <w:ind w:right="-448"/>
        <w:contextualSpacing/>
        <w:rPr>
          <w:rFonts w:eastAsiaTheme="minorHAnsi" w:cs="Arial"/>
          <w:b/>
          <w:color w:val="auto"/>
          <w:lang w:eastAsia="en-US"/>
        </w:rPr>
      </w:pPr>
    </w:p>
    <w:p w14:paraId="01F49E43" w14:textId="77777777" w:rsidR="00332638" w:rsidRPr="00FB7F38" w:rsidRDefault="00B577C0" w:rsidP="00332638">
      <w:pPr>
        <w:spacing w:after="0"/>
        <w:ind w:right="-448"/>
        <w:contextualSpacing/>
        <w:rPr>
          <w:rFonts w:eastAsiaTheme="minorHAnsi" w:cs="Arial"/>
          <w:b/>
          <w:color w:val="auto"/>
          <w:lang w:eastAsia="en-US"/>
        </w:rPr>
      </w:pPr>
      <w:r>
        <w:rPr>
          <w:rFonts w:eastAsiaTheme="minorHAnsi" w:cs="Arial"/>
          <w:b/>
          <w:color w:val="auto"/>
          <w:lang w:eastAsia="en-US"/>
        </w:rPr>
        <w:t>Introduction and background</w:t>
      </w:r>
    </w:p>
    <w:p w14:paraId="20681F52" w14:textId="77777777" w:rsidR="00332638" w:rsidRPr="00FB7F38" w:rsidRDefault="00332638" w:rsidP="00332638">
      <w:pPr>
        <w:spacing w:after="0"/>
        <w:ind w:left="360" w:right="-448"/>
        <w:contextualSpacing/>
        <w:rPr>
          <w:rFonts w:eastAsiaTheme="minorHAnsi" w:cs="Arial"/>
          <w:b/>
          <w:color w:val="auto"/>
          <w:lang w:eastAsia="en-US"/>
        </w:rPr>
      </w:pPr>
    </w:p>
    <w:p w14:paraId="5586625C" w14:textId="3D05D947" w:rsidR="0008540A" w:rsidRPr="006819DE" w:rsidRDefault="00361B58" w:rsidP="006819DE">
      <w:pPr>
        <w:pStyle w:val="ListParagraph"/>
        <w:spacing w:after="0"/>
        <w:ind w:left="357" w:hanging="357"/>
        <w:rPr>
          <w:rFonts w:eastAsiaTheme="minorHAnsi"/>
          <w:color w:val="FF0000"/>
          <w:lang w:eastAsia="en-US"/>
        </w:rPr>
      </w:pPr>
      <w:r>
        <w:rPr>
          <w:rFonts w:eastAsiaTheme="minorHAnsi"/>
          <w:color w:val="auto"/>
          <w:lang w:eastAsia="en-US"/>
        </w:rPr>
        <w:t>T</w:t>
      </w:r>
      <w:r w:rsidR="0008540A" w:rsidRPr="0008540A">
        <w:rPr>
          <w:rFonts w:eastAsiaTheme="minorHAnsi"/>
          <w:color w:val="auto"/>
          <w:lang w:eastAsia="en-US"/>
        </w:rPr>
        <w:t>he appointment of Board Directors to Oxford City Council’s housing group of companies (“the Housing Group”) is a matter reserved for the Shareholder.</w:t>
      </w:r>
    </w:p>
    <w:p w14:paraId="1F783E89" w14:textId="77777777" w:rsidR="006819DE" w:rsidRPr="006819DE" w:rsidRDefault="006819DE" w:rsidP="006819DE">
      <w:pPr>
        <w:spacing w:after="0"/>
        <w:rPr>
          <w:rFonts w:eastAsiaTheme="minorHAnsi"/>
          <w:color w:val="FF0000"/>
          <w:lang w:eastAsia="en-US"/>
        </w:rPr>
      </w:pPr>
    </w:p>
    <w:p w14:paraId="6303E2D0" w14:textId="77777777" w:rsidR="00882C5C" w:rsidRPr="006819DE" w:rsidRDefault="00882C5C" w:rsidP="006819DE">
      <w:pPr>
        <w:pStyle w:val="ListParagraph"/>
        <w:numPr>
          <w:ilvl w:val="0"/>
          <w:numId w:val="36"/>
        </w:numPr>
        <w:spacing w:after="0"/>
        <w:ind w:left="357" w:hanging="357"/>
      </w:pPr>
      <w:r>
        <w:lastRenderedPageBreak/>
        <w:t xml:space="preserve">On 25 September 2019 the Shareholder and Joint Venture Group resolved to agree </w:t>
      </w:r>
      <w:r w:rsidRPr="00882C5C">
        <w:rPr>
          <w:i/>
        </w:rPr>
        <w:t>“that consideration is given to the need for and recruitment of a permanent M</w:t>
      </w:r>
      <w:r>
        <w:rPr>
          <w:i/>
        </w:rPr>
        <w:t xml:space="preserve">anaging </w:t>
      </w:r>
      <w:r w:rsidRPr="00882C5C">
        <w:rPr>
          <w:i/>
        </w:rPr>
        <w:t>D</w:t>
      </w:r>
      <w:r>
        <w:rPr>
          <w:i/>
        </w:rPr>
        <w:t>irector</w:t>
      </w:r>
      <w:r w:rsidRPr="00882C5C">
        <w:rPr>
          <w:i/>
        </w:rPr>
        <w:t xml:space="preserve"> as part of the outcomes of the current OCHL review.”</w:t>
      </w:r>
    </w:p>
    <w:p w14:paraId="2721259F" w14:textId="77777777" w:rsidR="006819DE" w:rsidRDefault="006819DE" w:rsidP="006819DE">
      <w:pPr>
        <w:spacing w:after="0"/>
      </w:pPr>
    </w:p>
    <w:p w14:paraId="3DAD195B" w14:textId="5A55FC01" w:rsidR="0008540A" w:rsidRPr="001356F1" w:rsidRDefault="0008540A" w:rsidP="00525B27">
      <w:pPr>
        <w:pStyle w:val="ListParagraph"/>
        <w:numPr>
          <w:ilvl w:val="0"/>
          <w:numId w:val="36"/>
        </w:numPr>
        <w:spacing w:after="0"/>
        <w:ind w:left="357" w:hanging="357"/>
      </w:pPr>
      <w:r>
        <w:t>The City Council</w:t>
      </w:r>
      <w:r w:rsidR="00361B58">
        <w:t>, acting on behalf of the Housing Group</w:t>
      </w:r>
      <w:r w:rsidR="00F7451A">
        <w:t>,</w:t>
      </w:r>
      <w:r>
        <w:t xml:space="preserve"> is </w:t>
      </w:r>
      <w:r w:rsidR="00525B27">
        <w:t xml:space="preserve">now </w:t>
      </w:r>
      <w:r w:rsidR="00940D19">
        <w:t xml:space="preserve">proposing to undertake a process to seek </w:t>
      </w:r>
      <w:r w:rsidR="00A44227">
        <w:t xml:space="preserve">a replacement for the current Interim Managing Director, </w:t>
      </w:r>
      <w:r w:rsidR="004418AA">
        <w:t>whose</w:t>
      </w:r>
      <w:r w:rsidR="00DA5796">
        <w:t xml:space="preserve"> contract with the council will come to an end at the end of November 2019</w:t>
      </w:r>
      <w:r w:rsidR="00A44227">
        <w:t>.  The proposed appointment</w:t>
      </w:r>
      <w:r>
        <w:t xml:space="preserve"> of a</w:t>
      </w:r>
      <w:r w:rsidR="00A44227">
        <w:t xml:space="preserve"> new</w:t>
      </w:r>
      <w:r w:rsidR="006819DE">
        <w:t xml:space="preserve"> </w:t>
      </w:r>
      <w:r>
        <w:t xml:space="preserve">Managing Director </w:t>
      </w:r>
      <w:r w:rsidR="00882C5C" w:rsidRPr="00A44227">
        <w:rPr>
          <w:color w:val="auto"/>
        </w:rPr>
        <w:t xml:space="preserve">for </w:t>
      </w:r>
      <w:r w:rsidR="00F7451A" w:rsidRPr="00A44227">
        <w:rPr>
          <w:color w:val="auto"/>
        </w:rPr>
        <w:t xml:space="preserve">the Housing Group </w:t>
      </w:r>
      <w:r w:rsidR="00A44227">
        <w:t xml:space="preserve">would bring </w:t>
      </w:r>
      <w:r>
        <w:t xml:space="preserve">external capacity and expertise.  The focus for the </w:t>
      </w:r>
      <w:r w:rsidR="00F7451A">
        <w:t>Managing Director</w:t>
      </w:r>
      <w:r w:rsidR="00A44227">
        <w:t>’s</w:t>
      </w:r>
      <w:r w:rsidR="00F7451A">
        <w:t xml:space="preserve"> role will be to ensure</w:t>
      </w:r>
      <w:r>
        <w:t xml:space="preserve"> that the delivery, resource and governance arrangements are fit for the purpose of delivering the Housing Group business plan.  </w:t>
      </w:r>
      <w:r w:rsidR="00577A9F">
        <w:t>While the successful candidate would be employed by the City Council, he/she would be seconded, on a full time basis, to the Housing Group.</w:t>
      </w:r>
      <w:r w:rsidR="00A44227">
        <w:t xml:space="preserve"> It is proposed that the appointment be on</w:t>
      </w:r>
      <w:r w:rsidR="00DA5796">
        <w:t xml:space="preserve"> an initial</w:t>
      </w:r>
      <w:r w:rsidR="00A44227">
        <w:t xml:space="preserve"> fixed term basis of 2 years</w:t>
      </w:r>
      <w:r w:rsidR="00DA5796">
        <w:t xml:space="preserve"> with the possibility of extension by mutual agreement</w:t>
      </w:r>
      <w:r w:rsidR="00A44227">
        <w:t>.</w:t>
      </w:r>
      <w:r w:rsidR="009E42D4">
        <w:t xml:space="preserve"> A fixed term of this duration has been suggested by the recruitment specialists engaged in order to expedite the process</w:t>
      </w:r>
      <w:r w:rsidR="00DA5796">
        <w:t>, attract a wider range of candidates</w:t>
      </w:r>
      <w:r w:rsidR="009E42D4">
        <w:t xml:space="preserve"> and to allow the shareholder</w:t>
      </w:r>
      <w:r w:rsidR="00DA5796">
        <w:t xml:space="preserve"> flexibility</w:t>
      </w:r>
      <w:r w:rsidR="009E42D4">
        <w:t xml:space="preserve"> to review the overall position after a period of some 18 months. </w:t>
      </w:r>
    </w:p>
    <w:p w14:paraId="34B294AC" w14:textId="77777777" w:rsidR="00332638" w:rsidRPr="000B08EF" w:rsidRDefault="00332638" w:rsidP="00332638">
      <w:pPr>
        <w:spacing w:after="0"/>
        <w:rPr>
          <w:rFonts w:eastAsiaTheme="minorHAnsi" w:cs="Arial"/>
          <w:color w:val="FF0000"/>
          <w:lang w:eastAsia="en-US"/>
        </w:rPr>
      </w:pPr>
    </w:p>
    <w:p w14:paraId="41FE5171" w14:textId="2FB1A501" w:rsidR="008F0F70" w:rsidRDefault="008F0F70" w:rsidP="00C9520B">
      <w:pPr>
        <w:pStyle w:val="ListParagraph"/>
        <w:spacing w:after="0"/>
        <w:ind w:left="357" w:hanging="357"/>
        <w:rPr>
          <w:noProof/>
        </w:rPr>
      </w:pPr>
      <w:r w:rsidRPr="00C9520B">
        <w:rPr>
          <w:bCs/>
        </w:rPr>
        <w:t xml:space="preserve">The </w:t>
      </w:r>
      <w:r w:rsidR="003560D6" w:rsidRPr="00C9520B">
        <w:rPr>
          <w:bCs/>
        </w:rPr>
        <w:t xml:space="preserve">recruitment process is underway and </w:t>
      </w:r>
      <w:r w:rsidR="00525B27" w:rsidRPr="00C9520B">
        <w:t>interviews</w:t>
      </w:r>
      <w:r w:rsidR="003560D6" w:rsidRPr="00C9520B">
        <w:t xml:space="preserve"> for this position</w:t>
      </w:r>
      <w:r w:rsidR="00525B27" w:rsidRPr="00C9520B">
        <w:t xml:space="preserve"> are scheduled to take place in the week beginning </w:t>
      </w:r>
      <w:r w:rsidR="003560D6" w:rsidRPr="00C9520B">
        <w:t>16 December 2019</w:t>
      </w:r>
      <w:r w:rsidR="00FF6ECF" w:rsidRPr="00C9520B">
        <w:t xml:space="preserve">. </w:t>
      </w:r>
      <w:r w:rsidR="003560D6" w:rsidRPr="00C9520B">
        <w:t xml:space="preserve"> </w:t>
      </w:r>
      <w:r w:rsidR="00C9520B">
        <w:t>It is proposed that th</w:t>
      </w:r>
      <w:r w:rsidR="003560D6" w:rsidRPr="00C9520B">
        <w:t xml:space="preserve">e interview panel will </w:t>
      </w:r>
      <w:r w:rsidR="00DA5796">
        <w:t>include</w:t>
      </w:r>
      <w:r w:rsidR="00DA5796" w:rsidRPr="00C9520B">
        <w:t xml:space="preserve"> </w:t>
      </w:r>
      <w:r w:rsidR="003560D6" w:rsidRPr="00C9520B">
        <w:t xml:space="preserve">the Leader of the Council, one other Shareholder representative and the </w:t>
      </w:r>
      <w:r w:rsidR="00A44227">
        <w:t xml:space="preserve">Council’s </w:t>
      </w:r>
      <w:r w:rsidR="003560D6" w:rsidRPr="00C9520B">
        <w:t>Chief Executive.</w:t>
      </w:r>
      <w:r w:rsidR="00C9520B" w:rsidRPr="00C9520B">
        <w:t xml:space="preserve">  </w:t>
      </w:r>
      <w:r w:rsidR="00A44227">
        <w:rPr>
          <w:noProof/>
        </w:rPr>
        <w:t>It is hoped</w:t>
      </w:r>
      <w:r w:rsidR="00C9520B" w:rsidRPr="00C9520B">
        <w:rPr>
          <w:noProof/>
        </w:rPr>
        <w:t xml:space="preserve"> that the </w:t>
      </w:r>
      <w:r w:rsidR="00C9520B">
        <w:rPr>
          <w:noProof/>
        </w:rPr>
        <w:t>successful candidate will be available to take up the appointm</w:t>
      </w:r>
      <w:r w:rsidR="00A44227">
        <w:rPr>
          <w:noProof/>
        </w:rPr>
        <w:t xml:space="preserve">ent </w:t>
      </w:r>
      <w:r w:rsidR="00C9520B">
        <w:rPr>
          <w:noProof/>
        </w:rPr>
        <w:t xml:space="preserve">early </w:t>
      </w:r>
      <w:r w:rsidR="00A44227">
        <w:rPr>
          <w:noProof/>
        </w:rPr>
        <w:t xml:space="preserve">in </w:t>
      </w:r>
      <w:r w:rsidR="00C9520B">
        <w:rPr>
          <w:noProof/>
        </w:rPr>
        <w:t xml:space="preserve">2020. </w:t>
      </w:r>
    </w:p>
    <w:p w14:paraId="5487366A" w14:textId="77777777" w:rsidR="00C9520B" w:rsidRPr="00C9520B" w:rsidRDefault="00C9520B" w:rsidP="00C9520B">
      <w:pPr>
        <w:spacing w:after="0"/>
        <w:rPr>
          <w:noProof/>
        </w:rPr>
      </w:pPr>
    </w:p>
    <w:p w14:paraId="623F5C98" w14:textId="7F940D70" w:rsidR="008F0F70" w:rsidRPr="009E42D4" w:rsidRDefault="00F7451A" w:rsidP="005570B5">
      <w:pPr>
        <w:pStyle w:val="bParagraphtext"/>
        <w:rPr>
          <w:color w:val="FF0000"/>
        </w:rPr>
      </w:pPr>
      <w:r w:rsidRPr="009E42D4">
        <w:rPr>
          <w:color w:val="000000" w:themeColor="text1"/>
        </w:rPr>
        <w:t xml:space="preserve">The successful candidate will join the </w:t>
      </w:r>
      <w:r w:rsidR="000C3625" w:rsidRPr="009E42D4">
        <w:rPr>
          <w:color w:val="000000" w:themeColor="text1"/>
        </w:rPr>
        <w:t xml:space="preserve">two existing directors, who </w:t>
      </w:r>
      <w:r w:rsidRPr="009E42D4">
        <w:rPr>
          <w:color w:val="000000" w:themeColor="text1"/>
        </w:rPr>
        <w:t xml:space="preserve">also </w:t>
      </w:r>
      <w:r w:rsidR="000C3625" w:rsidRPr="009E42D4">
        <w:rPr>
          <w:color w:val="000000" w:themeColor="text1"/>
        </w:rPr>
        <w:t xml:space="preserve">hold posts as </w:t>
      </w:r>
      <w:r w:rsidRPr="009E42D4">
        <w:rPr>
          <w:color w:val="000000" w:themeColor="text1"/>
        </w:rPr>
        <w:t xml:space="preserve">Council officers, and it is intended that the Board be further strengthened by the appointment of </w:t>
      </w:r>
      <w:r w:rsidR="00577A9F" w:rsidRPr="009E42D4">
        <w:rPr>
          <w:color w:val="000000" w:themeColor="text1"/>
        </w:rPr>
        <w:t xml:space="preserve">up to </w:t>
      </w:r>
      <w:r w:rsidRPr="009E42D4">
        <w:rPr>
          <w:color w:val="000000" w:themeColor="text1"/>
        </w:rPr>
        <w:t xml:space="preserve">three non-executive directors, able to add their external </w:t>
      </w:r>
      <w:r w:rsidR="00577A9F" w:rsidRPr="009E42D4">
        <w:rPr>
          <w:color w:val="000000" w:themeColor="text1"/>
        </w:rPr>
        <w:t xml:space="preserve">market </w:t>
      </w:r>
      <w:r w:rsidRPr="009E42D4">
        <w:rPr>
          <w:color w:val="000000" w:themeColor="text1"/>
        </w:rPr>
        <w:t xml:space="preserve">experience and </w:t>
      </w:r>
      <w:r w:rsidR="00577A9F" w:rsidRPr="009E42D4">
        <w:rPr>
          <w:color w:val="000000" w:themeColor="text1"/>
        </w:rPr>
        <w:t>a</w:t>
      </w:r>
      <w:r w:rsidRPr="009E42D4">
        <w:rPr>
          <w:color w:val="000000" w:themeColor="text1"/>
        </w:rPr>
        <w:t xml:space="preserve"> more independent viewpoint</w:t>
      </w:r>
      <w:r w:rsidRPr="0073696A">
        <w:rPr>
          <w:color w:val="auto"/>
        </w:rPr>
        <w:t xml:space="preserve">. </w:t>
      </w:r>
    </w:p>
    <w:p w14:paraId="33D01620" w14:textId="77777777" w:rsidR="0040736F" w:rsidRPr="001356F1" w:rsidRDefault="002329CF" w:rsidP="004A6D2F">
      <w:pPr>
        <w:pStyle w:val="Heading1"/>
      </w:pPr>
      <w:r w:rsidRPr="001356F1">
        <w:t>Financial implications</w:t>
      </w:r>
    </w:p>
    <w:p w14:paraId="50ED9A79" w14:textId="4D13EDC1" w:rsidR="00E87F7A" w:rsidRPr="0073696A" w:rsidRDefault="0008540A" w:rsidP="0073696A">
      <w:pPr>
        <w:pStyle w:val="ListParagraph"/>
        <w:spacing w:after="0"/>
        <w:ind w:left="357" w:hanging="357"/>
        <w:rPr>
          <w:i/>
          <w:color w:val="FF0000"/>
        </w:rPr>
      </w:pPr>
      <w:r>
        <w:t>There are financial implications for the Housing Group arising from this report</w:t>
      </w:r>
      <w:r w:rsidRPr="001356F1">
        <w:t>.</w:t>
      </w:r>
      <w:r w:rsidR="00577A9F">
        <w:t xml:space="preserve">  U</w:t>
      </w:r>
      <w:r>
        <w:t xml:space="preserve">nder the terms of </w:t>
      </w:r>
      <w:r w:rsidR="00882C5C">
        <w:t>the</w:t>
      </w:r>
      <w:r>
        <w:t xml:space="preserve"> </w:t>
      </w:r>
      <w:r w:rsidR="00577A9F">
        <w:t xml:space="preserve">proposed </w:t>
      </w:r>
      <w:r>
        <w:t>secondment</w:t>
      </w:r>
      <w:r w:rsidR="00577A9F">
        <w:t xml:space="preserve"> from the City Council</w:t>
      </w:r>
      <w:r>
        <w:t>,</w:t>
      </w:r>
      <w:r w:rsidR="00882C5C">
        <w:t xml:space="preserve"> the Managing Director’s</w:t>
      </w:r>
      <w:r>
        <w:t xml:space="preserve"> employment costs will be passed </w:t>
      </w:r>
      <w:r w:rsidR="005E0226">
        <w:t xml:space="preserve">on in full </w:t>
      </w:r>
      <w:r>
        <w:t>to the Housing Group.</w:t>
      </w:r>
    </w:p>
    <w:p w14:paraId="668E9159" w14:textId="77777777" w:rsidR="0073696A" w:rsidRPr="0073696A" w:rsidRDefault="0073696A" w:rsidP="0073696A">
      <w:pPr>
        <w:spacing w:after="0"/>
        <w:rPr>
          <w:i/>
          <w:color w:val="FF0000"/>
        </w:rPr>
      </w:pPr>
    </w:p>
    <w:p w14:paraId="54748582" w14:textId="30F04C64" w:rsidR="000C3625" w:rsidRPr="000C3625" w:rsidRDefault="000C3625" w:rsidP="005570B5">
      <w:pPr>
        <w:pStyle w:val="ListParagraph"/>
        <w:rPr>
          <w:b/>
          <w:i/>
          <w:color w:val="FF0000"/>
        </w:rPr>
      </w:pPr>
      <w:r w:rsidRPr="000C3625">
        <w:rPr>
          <w:b/>
        </w:rPr>
        <w:t>Appointment as a Board Director</w:t>
      </w:r>
    </w:p>
    <w:p w14:paraId="1532B02F" w14:textId="4C22FE61" w:rsidR="000C3625" w:rsidRPr="008F0F70" w:rsidRDefault="000C3625" w:rsidP="000C3625">
      <w:pPr>
        <w:pStyle w:val="ListParagraph"/>
        <w:numPr>
          <w:ilvl w:val="0"/>
          <w:numId w:val="0"/>
        </w:numPr>
        <w:ind w:left="360"/>
        <w:rPr>
          <w:i/>
          <w:color w:val="FF0000"/>
        </w:rPr>
      </w:pPr>
      <w:r>
        <w:t xml:space="preserve">Following the selection of the </w:t>
      </w:r>
      <w:r w:rsidR="00940D19">
        <w:t>successful candidate as above</w:t>
      </w:r>
      <w:r>
        <w:t>, to ensure that he or she is able to participate fully in Housing Group Board decisions as quickly as possible, it would be helpful if there could be a minimum of delay before consideration is given to appointing the candidate as a Board director.  To facilitate this process, it is proposed that the Shareholder grants delegated authority to the Chair of the Shareholder</w:t>
      </w:r>
      <w:r w:rsidR="00940D19">
        <w:t xml:space="preserve"> and Joint Venture group to consider the position and if appropriate to appoint the successful candidate as a director of the Housing Group.</w:t>
      </w:r>
    </w:p>
    <w:p w14:paraId="464BED6C" w14:textId="77777777" w:rsidR="0040736F" w:rsidRPr="0008540A" w:rsidRDefault="00DA614B" w:rsidP="004A6D2F">
      <w:pPr>
        <w:pStyle w:val="Heading1"/>
        <w:rPr>
          <w:color w:val="auto"/>
        </w:rPr>
      </w:pPr>
      <w:r w:rsidRPr="0008540A">
        <w:rPr>
          <w:color w:val="auto"/>
        </w:rPr>
        <w:t>Legal issues</w:t>
      </w:r>
    </w:p>
    <w:p w14:paraId="69E01D6D" w14:textId="1094EF84" w:rsidR="00332638" w:rsidRDefault="0008540A" w:rsidP="006819DE">
      <w:pPr>
        <w:pStyle w:val="ListParagraph"/>
        <w:tabs>
          <w:tab w:val="clear" w:pos="426"/>
        </w:tabs>
        <w:ind w:left="426" w:hanging="426"/>
        <w:rPr>
          <w:color w:val="auto"/>
        </w:rPr>
      </w:pPr>
      <w:r w:rsidRPr="0008540A">
        <w:rPr>
          <w:color w:val="auto"/>
        </w:rPr>
        <w:t xml:space="preserve">The Articles of Association (paras 19 and 21) for the Housing Group stipulate that each of the separate Housing Group company Boards shall have a minimum of three Directors, unless otherwise determined by ordinary resolution. </w:t>
      </w:r>
      <w:r w:rsidR="00577A9F">
        <w:rPr>
          <w:color w:val="auto"/>
        </w:rPr>
        <w:t xml:space="preserve">With the imminent </w:t>
      </w:r>
      <w:r w:rsidR="00DA5796">
        <w:rPr>
          <w:color w:val="auto"/>
        </w:rPr>
        <w:t xml:space="preserve">departure </w:t>
      </w:r>
      <w:r w:rsidR="00577A9F">
        <w:rPr>
          <w:color w:val="auto"/>
        </w:rPr>
        <w:t xml:space="preserve">of the current Interim Managing Director, </w:t>
      </w:r>
      <w:r w:rsidR="000C3625">
        <w:rPr>
          <w:color w:val="auto"/>
        </w:rPr>
        <w:t xml:space="preserve">the proposed </w:t>
      </w:r>
      <w:r w:rsidR="000C3625">
        <w:rPr>
          <w:color w:val="auto"/>
        </w:rPr>
        <w:lastRenderedPageBreak/>
        <w:t xml:space="preserve">appointment of the successful candidate to the Board would </w:t>
      </w:r>
      <w:r w:rsidRPr="0008540A">
        <w:rPr>
          <w:color w:val="auto"/>
        </w:rPr>
        <w:t>mean that this requirement as stipulated in the Articles would be fully met.</w:t>
      </w:r>
    </w:p>
    <w:p w14:paraId="41AA7270" w14:textId="77777777" w:rsidR="00940D19" w:rsidRPr="0073696A" w:rsidRDefault="00940D19" w:rsidP="00940D19">
      <w:pPr>
        <w:pStyle w:val="Heading1"/>
        <w:rPr>
          <w:color w:val="000000" w:themeColor="text1"/>
        </w:rPr>
      </w:pPr>
      <w:r w:rsidRPr="0073696A">
        <w:rPr>
          <w:color w:val="000000" w:themeColor="text1"/>
        </w:rPr>
        <w:t>Level of risk</w:t>
      </w:r>
    </w:p>
    <w:p w14:paraId="3B7A5968" w14:textId="107D3EB9" w:rsidR="00940D19" w:rsidRPr="0073696A" w:rsidRDefault="00940D19" w:rsidP="00940D19">
      <w:pPr>
        <w:pStyle w:val="ListParagraph"/>
        <w:rPr>
          <w:color w:val="000000" w:themeColor="text1"/>
        </w:rPr>
      </w:pPr>
      <w:r w:rsidRPr="0073696A">
        <w:rPr>
          <w:color w:val="000000" w:themeColor="text1"/>
        </w:rPr>
        <w:t xml:space="preserve">The risks of not having an effective Managing Director of the Housing Group were noted at the September 2019 meeting of the Shareholder and Joint Venture group.  The actions proposed in this report are intended to </w:t>
      </w:r>
      <w:r w:rsidR="00A44227" w:rsidRPr="0073696A">
        <w:rPr>
          <w:color w:val="000000" w:themeColor="text1"/>
        </w:rPr>
        <w:t>remo</w:t>
      </w:r>
      <w:r w:rsidRPr="0073696A">
        <w:rPr>
          <w:color w:val="000000" w:themeColor="text1"/>
        </w:rPr>
        <w:t xml:space="preserve">ve any such risks. </w:t>
      </w:r>
    </w:p>
    <w:p w14:paraId="36F19C5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A8AF4C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E07406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73E4287" w14:textId="77777777" w:rsidR="00E87F7A" w:rsidRPr="001356F1" w:rsidRDefault="00960BAD" w:rsidP="00A46E98">
            <w:r>
              <w:t>Lindsay Cane</w:t>
            </w:r>
          </w:p>
        </w:tc>
      </w:tr>
      <w:tr w:rsidR="00DF093E" w:rsidRPr="001356F1" w14:paraId="5F0E0F73" w14:textId="77777777" w:rsidTr="00A46E98">
        <w:trPr>
          <w:cantSplit/>
          <w:trHeight w:val="396"/>
        </w:trPr>
        <w:tc>
          <w:tcPr>
            <w:tcW w:w="3969" w:type="dxa"/>
            <w:tcBorders>
              <w:top w:val="nil"/>
              <w:left w:val="single" w:sz="8" w:space="0" w:color="000000"/>
              <w:bottom w:val="nil"/>
              <w:right w:val="nil"/>
            </w:tcBorders>
            <w:shd w:val="clear" w:color="auto" w:fill="auto"/>
          </w:tcPr>
          <w:p w14:paraId="5FDE72C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3E6245E" w14:textId="77777777" w:rsidR="00E87F7A" w:rsidRPr="00D23ACE" w:rsidRDefault="00E87F7A" w:rsidP="00960BAD">
            <w:pPr>
              <w:rPr>
                <w:color w:val="FF0000"/>
              </w:rPr>
            </w:pPr>
            <w:r w:rsidRPr="00960BAD">
              <w:rPr>
                <w:color w:val="auto"/>
              </w:rPr>
              <w:t xml:space="preserve">01865 </w:t>
            </w:r>
            <w:r w:rsidR="00960BAD" w:rsidRPr="00960BAD">
              <w:rPr>
                <w:color w:val="auto"/>
              </w:rPr>
              <w:t>335499</w:t>
            </w:r>
            <w:r w:rsidRPr="00960BAD">
              <w:rPr>
                <w:color w:val="auto"/>
              </w:rPr>
              <w:t xml:space="preserve">  </w:t>
            </w:r>
          </w:p>
        </w:tc>
      </w:tr>
      <w:tr w:rsidR="005570B5" w:rsidRPr="001356F1" w14:paraId="42B3E69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9739EC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39FC0CB" w14:textId="77777777" w:rsidR="00960BAD" w:rsidRPr="00D23ACE" w:rsidRDefault="00CD16D2" w:rsidP="00960BAD">
            <w:pPr>
              <w:rPr>
                <w:rStyle w:val="Hyperlink"/>
                <w:color w:val="FF0000"/>
              </w:rPr>
            </w:pPr>
            <w:hyperlink r:id="rId9" w:history="1">
              <w:r w:rsidR="00960BAD" w:rsidRPr="00A16A75">
                <w:rPr>
                  <w:rStyle w:val="Hyperlink"/>
                </w:rPr>
                <w:t>lindsay.cane@oxfordds.co.uk</w:t>
              </w:r>
            </w:hyperlink>
          </w:p>
        </w:tc>
      </w:tr>
    </w:tbl>
    <w:p w14:paraId="0AA112B5" w14:textId="77777777" w:rsidR="00433B96" w:rsidRPr="001356F1" w:rsidRDefault="00433B96" w:rsidP="004A6D2F"/>
    <w:p w14:paraId="378B62C2" w14:textId="77777777" w:rsidR="0054712D" w:rsidRDefault="0054712D" w:rsidP="0093067A"/>
    <w:p w14:paraId="7958765A" w14:textId="77777777"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3D42B" w14:textId="77777777" w:rsidR="00457384" w:rsidRDefault="00457384" w:rsidP="004A6D2F">
      <w:r>
        <w:separator/>
      </w:r>
    </w:p>
  </w:endnote>
  <w:endnote w:type="continuationSeparator" w:id="0">
    <w:p w14:paraId="368F8360" w14:textId="77777777" w:rsidR="00457384" w:rsidRDefault="0045738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2241" w14:textId="77777777" w:rsidR="00364FAD" w:rsidRDefault="00364FAD" w:rsidP="004A6D2F">
    <w:pPr>
      <w:pStyle w:val="Footer"/>
    </w:pPr>
    <w:r>
      <w:t>Do not use a footer or page numbers.</w:t>
    </w:r>
  </w:p>
  <w:p w14:paraId="55D5D128" w14:textId="77777777" w:rsidR="00364FAD" w:rsidRDefault="00364FAD" w:rsidP="004A6D2F">
    <w:pPr>
      <w:pStyle w:val="Footer"/>
    </w:pPr>
  </w:p>
  <w:p w14:paraId="06C5D88E"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E89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8620" w14:textId="77777777" w:rsidR="00457384" w:rsidRDefault="00457384" w:rsidP="004A6D2F">
      <w:r>
        <w:separator/>
      </w:r>
    </w:p>
  </w:footnote>
  <w:footnote w:type="continuationSeparator" w:id="0">
    <w:p w14:paraId="53F28FC5" w14:textId="77777777" w:rsidR="00457384" w:rsidRDefault="0045738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8B7A" w14:textId="77777777" w:rsidR="00D5547E" w:rsidRDefault="00484329" w:rsidP="00D5547E">
    <w:pPr>
      <w:pStyle w:val="Header"/>
      <w:jc w:val="right"/>
    </w:pPr>
    <w:r>
      <w:rPr>
        <w:noProof/>
      </w:rPr>
      <w:drawing>
        <wp:inline distT="0" distB="0" distL="0" distR="0" wp14:anchorId="6CDF7308" wp14:editId="534CDC1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2E54E4"/>
    <w:multiLevelType w:val="hybridMultilevel"/>
    <w:tmpl w:val="D7A2FFA0"/>
    <w:lvl w:ilvl="0" w:tplc="26561A02">
      <w:start w:val="1"/>
      <w:numFmt w:val="bullet"/>
      <w:lvlText w:val=""/>
      <w:lvlJc w:val="left"/>
      <w:pPr>
        <w:ind w:left="720" w:hanging="360"/>
      </w:pPr>
      <w:rPr>
        <w:rFonts w:ascii="Symbol" w:hAnsi="Symbol" w:hint="default"/>
      </w:rPr>
    </w:lvl>
    <w:lvl w:ilvl="1" w:tplc="0E8C69D6">
      <w:start w:val="1"/>
      <w:numFmt w:val="bullet"/>
      <w:lvlText w:val="o"/>
      <w:lvlJc w:val="left"/>
      <w:pPr>
        <w:ind w:left="1440" w:hanging="360"/>
      </w:pPr>
      <w:rPr>
        <w:rFonts w:ascii="Courier New" w:hAnsi="Courier New" w:hint="default"/>
      </w:rPr>
    </w:lvl>
    <w:lvl w:ilvl="2" w:tplc="B7C476AA">
      <w:start w:val="1"/>
      <w:numFmt w:val="bullet"/>
      <w:lvlText w:val=""/>
      <w:lvlJc w:val="left"/>
      <w:pPr>
        <w:ind w:left="2160" w:hanging="360"/>
      </w:pPr>
      <w:rPr>
        <w:rFonts w:ascii="Wingdings" w:hAnsi="Wingdings" w:hint="default"/>
      </w:rPr>
    </w:lvl>
    <w:lvl w:ilvl="3" w:tplc="D2243880">
      <w:start w:val="1"/>
      <w:numFmt w:val="bullet"/>
      <w:lvlText w:val=""/>
      <w:lvlJc w:val="left"/>
      <w:pPr>
        <w:ind w:left="2880" w:hanging="360"/>
      </w:pPr>
      <w:rPr>
        <w:rFonts w:ascii="Symbol" w:hAnsi="Symbol" w:hint="default"/>
      </w:rPr>
    </w:lvl>
    <w:lvl w:ilvl="4" w:tplc="15EEB09C">
      <w:start w:val="1"/>
      <w:numFmt w:val="bullet"/>
      <w:lvlText w:val="o"/>
      <w:lvlJc w:val="left"/>
      <w:pPr>
        <w:ind w:left="3600" w:hanging="360"/>
      </w:pPr>
      <w:rPr>
        <w:rFonts w:ascii="Courier New" w:hAnsi="Courier New" w:hint="default"/>
      </w:rPr>
    </w:lvl>
    <w:lvl w:ilvl="5" w:tplc="CBBC9D7E">
      <w:start w:val="1"/>
      <w:numFmt w:val="bullet"/>
      <w:lvlText w:val=""/>
      <w:lvlJc w:val="left"/>
      <w:pPr>
        <w:ind w:left="4320" w:hanging="360"/>
      </w:pPr>
      <w:rPr>
        <w:rFonts w:ascii="Wingdings" w:hAnsi="Wingdings" w:hint="default"/>
      </w:rPr>
    </w:lvl>
    <w:lvl w:ilvl="6" w:tplc="9A821008">
      <w:start w:val="1"/>
      <w:numFmt w:val="bullet"/>
      <w:lvlText w:val=""/>
      <w:lvlJc w:val="left"/>
      <w:pPr>
        <w:ind w:left="5040" w:hanging="360"/>
      </w:pPr>
      <w:rPr>
        <w:rFonts w:ascii="Symbol" w:hAnsi="Symbol" w:hint="default"/>
      </w:rPr>
    </w:lvl>
    <w:lvl w:ilvl="7" w:tplc="875C7232">
      <w:start w:val="1"/>
      <w:numFmt w:val="bullet"/>
      <w:lvlText w:val="o"/>
      <w:lvlJc w:val="left"/>
      <w:pPr>
        <w:ind w:left="5760" w:hanging="360"/>
      </w:pPr>
      <w:rPr>
        <w:rFonts w:ascii="Courier New" w:hAnsi="Courier New" w:hint="default"/>
      </w:rPr>
    </w:lvl>
    <w:lvl w:ilvl="8" w:tplc="63343986">
      <w:start w:val="1"/>
      <w:numFmt w:val="bullet"/>
      <w:lvlText w:val=""/>
      <w:lvlJc w:val="left"/>
      <w:pPr>
        <w:ind w:left="648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abstractNum w:abstractNumId="35">
    <w:nsid w:val="7D211E9A"/>
    <w:multiLevelType w:val="hybridMultilevel"/>
    <w:tmpl w:val="725C8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4"/>
    <w:lvlOverride w:ilvl="0">
      <w:lvl w:ilvl="0">
        <w:start w:val="1"/>
        <w:numFmt w:val="decimal"/>
        <w:pStyle w:val="ListParagraph"/>
        <w:lvlText w:val="%1."/>
        <w:lvlJc w:val="left"/>
        <w:pPr>
          <w:ind w:left="360" w:hanging="360"/>
        </w:pPr>
        <w:rPr>
          <w:rFonts w:ascii="Arial" w:hAnsi="Arial"/>
          <w:i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19"/>
  </w:num>
  <w:num w:numId="36">
    <w:abstractNumId w:val="34"/>
  </w:num>
  <w:num w:numId="37">
    <w:abstractNumId w:val="35"/>
  </w:num>
  <w:num w:numId="38">
    <w:abstractNumId w:val="34"/>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17D4"/>
    <w:rsid w:val="000314D7"/>
    <w:rsid w:val="00045F8B"/>
    <w:rsid w:val="00046D2B"/>
    <w:rsid w:val="00056263"/>
    <w:rsid w:val="00064D8A"/>
    <w:rsid w:val="00064F82"/>
    <w:rsid w:val="00066510"/>
    <w:rsid w:val="00077523"/>
    <w:rsid w:val="0008540A"/>
    <w:rsid w:val="000B08EF"/>
    <w:rsid w:val="000C089F"/>
    <w:rsid w:val="000C3625"/>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93F45"/>
    <w:rsid w:val="001A011E"/>
    <w:rsid w:val="001A066A"/>
    <w:rsid w:val="001A13E6"/>
    <w:rsid w:val="001A5731"/>
    <w:rsid w:val="001A7489"/>
    <w:rsid w:val="001B42C3"/>
    <w:rsid w:val="001C5D5E"/>
    <w:rsid w:val="001D678D"/>
    <w:rsid w:val="001E03F8"/>
    <w:rsid w:val="001E1678"/>
    <w:rsid w:val="001E3376"/>
    <w:rsid w:val="002069B3"/>
    <w:rsid w:val="002329CF"/>
    <w:rsid w:val="00232F5B"/>
    <w:rsid w:val="00245154"/>
    <w:rsid w:val="00247C29"/>
    <w:rsid w:val="00260467"/>
    <w:rsid w:val="00263EA3"/>
    <w:rsid w:val="00284F85"/>
    <w:rsid w:val="00290915"/>
    <w:rsid w:val="002A22E2"/>
    <w:rsid w:val="002C64F7"/>
    <w:rsid w:val="002F41F2"/>
    <w:rsid w:val="00301BF3"/>
    <w:rsid w:val="0030208D"/>
    <w:rsid w:val="00323418"/>
    <w:rsid w:val="00332638"/>
    <w:rsid w:val="003357BF"/>
    <w:rsid w:val="003560D6"/>
    <w:rsid w:val="00361B58"/>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AF7"/>
    <w:rsid w:val="00412C1F"/>
    <w:rsid w:val="00421CB2"/>
    <w:rsid w:val="004268B9"/>
    <w:rsid w:val="00433B96"/>
    <w:rsid w:val="004418AA"/>
    <w:rsid w:val="004440F1"/>
    <w:rsid w:val="004456DD"/>
    <w:rsid w:val="00446CDF"/>
    <w:rsid w:val="004521B7"/>
    <w:rsid w:val="00457384"/>
    <w:rsid w:val="00462AB5"/>
    <w:rsid w:val="00465EAF"/>
    <w:rsid w:val="004711FC"/>
    <w:rsid w:val="004738C5"/>
    <w:rsid w:val="00475860"/>
    <w:rsid w:val="00484329"/>
    <w:rsid w:val="00491046"/>
    <w:rsid w:val="004A2AC7"/>
    <w:rsid w:val="004A6D2F"/>
    <w:rsid w:val="004A76CE"/>
    <w:rsid w:val="004C2887"/>
    <w:rsid w:val="004D2626"/>
    <w:rsid w:val="004D6E26"/>
    <w:rsid w:val="004D77D3"/>
    <w:rsid w:val="004E2959"/>
    <w:rsid w:val="004F20EF"/>
    <w:rsid w:val="0050321C"/>
    <w:rsid w:val="00525B27"/>
    <w:rsid w:val="0054712D"/>
    <w:rsid w:val="00547EF6"/>
    <w:rsid w:val="005570B5"/>
    <w:rsid w:val="00567E18"/>
    <w:rsid w:val="00575F5F"/>
    <w:rsid w:val="00577A9F"/>
    <w:rsid w:val="00581805"/>
    <w:rsid w:val="00585F76"/>
    <w:rsid w:val="005A34E4"/>
    <w:rsid w:val="005B17F2"/>
    <w:rsid w:val="005B7FB0"/>
    <w:rsid w:val="005C35A5"/>
    <w:rsid w:val="005C577C"/>
    <w:rsid w:val="005D0621"/>
    <w:rsid w:val="005D1E27"/>
    <w:rsid w:val="005D2A3E"/>
    <w:rsid w:val="005E0226"/>
    <w:rsid w:val="005E022E"/>
    <w:rsid w:val="005E5215"/>
    <w:rsid w:val="005F7F7E"/>
    <w:rsid w:val="00614693"/>
    <w:rsid w:val="00623C2F"/>
    <w:rsid w:val="00633578"/>
    <w:rsid w:val="00637068"/>
    <w:rsid w:val="00650811"/>
    <w:rsid w:val="00661D3E"/>
    <w:rsid w:val="006819D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696A"/>
    <w:rsid w:val="00737B93"/>
    <w:rsid w:val="00745BF0"/>
    <w:rsid w:val="007615FE"/>
    <w:rsid w:val="0076655C"/>
    <w:rsid w:val="007742DC"/>
    <w:rsid w:val="00791437"/>
    <w:rsid w:val="007B0C2C"/>
    <w:rsid w:val="007B278E"/>
    <w:rsid w:val="007C5C23"/>
    <w:rsid w:val="007E2A26"/>
    <w:rsid w:val="007F1E43"/>
    <w:rsid w:val="007F2348"/>
    <w:rsid w:val="00803F07"/>
    <w:rsid w:val="0080749A"/>
    <w:rsid w:val="00821FB8"/>
    <w:rsid w:val="00822ACD"/>
    <w:rsid w:val="00855C66"/>
    <w:rsid w:val="0087123C"/>
    <w:rsid w:val="00871EE4"/>
    <w:rsid w:val="008800C1"/>
    <w:rsid w:val="00882C5C"/>
    <w:rsid w:val="008B293F"/>
    <w:rsid w:val="008B7371"/>
    <w:rsid w:val="008D3DDB"/>
    <w:rsid w:val="008F0F70"/>
    <w:rsid w:val="008F573F"/>
    <w:rsid w:val="009000F1"/>
    <w:rsid w:val="009034EC"/>
    <w:rsid w:val="0093067A"/>
    <w:rsid w:val="00940D19"/>
    <w:rsid w:val="00941C60"/>
    <w:rsid w:val="00941FD1"/>
    <w:rsid w:val="00960BAD"/>
    <w:rsid w:val="00966D42"/>
    <w:rsid w:val="00971689"/>
    <w:rsid w:val="00973E90"/>
    <w:rsid w:val="00975B07"/>
    <w:rsid w:val="00980B4A"/>
    <w:rsid w:val="0098784B"/>
    <w:rsid w:val="009E3D0A"/>
    <w:rsid w:val="009E42D4"/>
    <w:rsid w:val="009E51FC"/>
    <w:rsid w:val="009F1D28"/>
    <w:rsid w:val="009F7618"/>
    <w:rsid w:val="00A04D23"/>
    <w:rsid w:val="00A06766"/>
    <w:rsid w:val="00A13765"/>
    <w:rsid w:val="00A21B12"/>
    <w:rsid w:val="00A23F80"/>
    <w:rsid w:val="00A44227"/>
    <w:rsid w:val="00A46E98"/>
    <w:rsid w:val="00A6352B"/>
    <w:rsid w:val="00A701B5"/>
    <w:rsid w:val="00A714BB"/>
    <w:rsid w:val="00A71582"/>
    <w:rsid w:val="00A77147"/>
    <w:rsid w:val="00A92D8F"/>
    <w:rsid w:val="00A955E7"/>
    <w:rsid w:val="00AB2988"/>
    <w:rsid w:val="00AB7999"/>
    <w:rsid w:val="00AD3292"/>
    <w:rsid w:val="00AE7AF0"/>
    <w:rsid w:val="00B500CA"/>
    <w:rsid w:val="00B577C0"/>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44E44"/>
    <w:rsid w:val="00C63C31"/>
    <w:rsid w:val="00C757A0"/>
    <w:rsid w:val="00C760DE"/>
    <w:rsid w:val="00C82630"/>
    <w:rsid w:val="00C85B4E"/>
    <w:rsid w:val="00C907F7"/>
    <w:rsid w:val="00C9520B"/>
    <w:rsid w:val="00CA2103"/>
    <w:rsid w:val="00CB6B99"/>
    <w:rsid w:val="00CD16D2"/>
    <w:rsid w:val="00CE4C87"/>
    <w:rsid w:val="00CE544A"/>
    <w:rsid w:val="00D11E1C"/>
    <w:rsid w:val="00D160B0"/>
    <w:rsid w:val="00D17F94"/>
    <w:rsid w:val="00D223FC"/>
    <w:rsid w:val="00D23ACE"/>
    <w:rsid w:val="00D26D1E"/>
    <w:rsid w:val="00D474CF"/>
    <w:rsid w:val="00D5547E"/>
    <w:rsid w:val="00D869A1"/>
    <w:rsid w:val="00DA413F"/>
    <w:rsid w:val="00DA4584"/>
    <w:rsid w:val="00DA5796"/>
    <w:rsid w:val="00DA614B"/>
    <w:rsid w:val="00DC3060"/>
    <w:rsid w:val="00DE0FB2"/>
    <w:rsid w:val="00DF093E"/>
    <w:rsid w:val="00E01F42"/>
    <w:rsid w:val="00E206D6"/>
    <w:rsid w:val="00E3366E"/>
    <w:rsid w:val="00E52086"/>
    <w:rsid w:val="00E543A6"/>
    <w:rsid w:val="00E574CA"/>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51A"/>
    <w:rsid w:val="00F74F53"/>
    <w:rsid w:val="00F7606D"/>
    <w:rsid w:val="00F81670"/>
    <w:rsid w:val="00F82024"/>
    <w:rsid w:val="00F95BC9"/>
    <w:rsid w:val="00FA624C"/>
    <w:rsid w:val="00FB3FDD"/>
    <w:rsid w:val="00FD0FAC"/>
    <w:rsid w:val="00FD1DFA"/>
    <w:rsid w:val="00FD4966"/>
    <w:rsid w:val="00FE57DC"/>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89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ndsay.cane@oxfordd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F852-3339-4EA3-B2E8-CD6C7960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BC81F49B</Template>
  <TotalTime>3</TotalTime>
  <Pages>3</Pages>
  <Words>858</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JMitchell</cp:lastModifiedBy>
  <cp:revision>4</cp:revision>
  <cp:lastPrinted>2015-07-03T13:50:00Z</cp:lastPrinted>
  <dcterms:created xsi:type="dcterms:W3CDTF">2019-11-01T11:22:00Z</dcterms:created>
  <dcterms:modified xsi:type="dcterms:W3CDTF">2019-11-11T13:23:00Z</dcterms:modified>
</cp:coreProperties>
</file>